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1" w:rsidRDefault="003A69C5">
      <w:pPr>
        <w:pStyle w:val="Standard"/>
        <w:jc w:val="center"/>
        <w:rPr>
          <w:rFonts w:ascii="Sylfaen" w:eastAsia="標楷體" w:hAnsi="Sylfaen" w:cs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Sylfaen" w:eastAsia="標楷體" w:hAnsi="Sylfaen" w:cs="標楷體"/>
          <w:b/>
          <w:color w:val="000000"/>
          <w:sz w:val="32"/>
          <w:szCs w:val="32"/>
        </w:rPr>
        <w:t>僑務委員會僑務研究碩博士論文獎助審查程序</w:t>
      </w:r>
    </w:p>
    <w:p w:rsidR="00AA43F1" w:rsidRDefault="00AA43F1">
      <w:pPr>
        <w:pStyle w:val="Standard"/>
        <w:jc w:val="center"/>
        <w:rPr>
          <w:rFonts w:ascii="Sylfaen" w:eastAsia="標楷體" w:hAnsi="Sylfaen" w:cs="標楷體"/>
          <w:b/>
          <w:color w:val="000000"/>
          <w:sz w:val="32"/>
          <w:szCs w:val="32"/>
        </w:rPr>
      </w:pPr>
    </w:p>
    <w:p w:rsidR="00AA43F1" w:rsidRDefault="003A69C5">
      <w:pPr>
        <w:pStyle w:val="a5"/>
        <w:numPr>
          <w:ilvl w:val="0"/>
          <w:numId w:val="7"/>
        </w:numPr>
        <w:spacing w:line="440" w:lineRule="exact"/>
        <w:ind w:left="709" w:hanging="709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由本會遴邀</w:t>
      </w:r>
      <w:r>
        <w:rPr>
          <w:rFonts w:ascii="標楷體" w:eastAsia="標楷體" w:hAnsi="標楷體" w:cs="標楷體"/>
          <w:color w:val="000000"/>
          <w:sz w:val="28"/>
          <w:szCs w:val="28"/>
        </w:rPr>
        <w:t>相關研究之學者專家三名擔任審查委員審定之。</w:t>
      </w:r>
    </w:p>
    <w:p w:rsidR="00AA43F1" w:rsidRDefault="003A69C5">
      <w:pPr>
        <w:pStyle w:val="a5"/>
        <w:numPr>
          <w:ilvl w:val="0"/>
          <w:numId w:val="1"/>
        </w:numPr>
        <w:spacing w:line="440" w:lineRule="exact"/>
        <w:ind w:left="709" w:hanging="709"/>
        <w:rPr>
          <w:rFonts w:ascii="Sylfaen" w:eastAsia="標楷體" w:hAnsi="Sylfaen" w:cs="標楷體"/>
          <w:color w:val="000000"/>
          <w:sz w:val="28"/>
          <w:szCs w:val="28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審查程序：</w:t>
      </w:r>
    </w:p>
    <w:p w:rsidR="00AA43F1" w:rsidRDefault="003A69C5">
      <w:pPr>
        <w:pStyle w:val="a5"/>
        <w:numPr>
          <w:ilvl w:val="0"/>
          <w:numId w:val="8"/>
        </w:numPr>
        <w:spacing w:line="440" w:lineRule="exact"/>
        <w:ind w:left="1276" w:hanging="992"/>
        <w:jc w:val="both"/>
        <w:rPr>
          <w:color w:val="000000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資格審查：</w:t>
      </w:r>
      <w:r>
        <w:rPr>
          <w:rFonts w:eastAsia="標楷體"/>
          <w:color w:val="000000"/>
          <w:sz w:val="28"/>
          <w:szCs w:val="28"/>
        </w:rPr>
        <w:t>本會先就申請者所提之各項書表進行資格審查，如審查結果不符規定（包括所附資料不齊或填寫不完整、論文尚未全部完成等），本會得通知限期補正一次，屆期未補正或補正不全者，則不予受理。</w:t>
      </w:r>
    </w:p>
    <w:p w:rsidR="00AA43F1" w:rsidRDefault="003A69C5">
      <w:pPr>
        <w:pStyle w:val="a5"/>
        <w:numPr>
          <w:ilvl w:val="0"/>
          <w:numId w:val="2"/>
        </w:numPr>
        <w:spacing w:line="440" w:lineRule="exact"/>
        <w:ind w:left="1276" w:hanging="992"/>
        <w:jc w:val="both"/>
        <w:rPr>
          <w:color w:val="000000"/>
        </w:rPr>
      </w:pPr>
      <w:r>
        <w:rPr>
          <w:rFonts w:eastAsia="標楷體"/>
          <w:color w:val="000000"/>
          <w:sz w:val="28"/>
          <w:szCs w:val="28"/>
        </w:rPr>
        <w:t>實質審查：通過資格審查者，由本會遴邀會外審查委員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名進行書面審查並評分，</w:t>
      </w:r>
      <w:r>
        <w:rPr>
          <w:rFonts w:ascii="Times New Roman" w:eastAsia="標楷體" w:hAnsi="Times New Roman"/>
          <w:color w:val="000000"/>
          <w:sz w:val="28"/>
          <w:szCs w:val="28"/>
        </w:rPr>
        <w:t>超過半數審查委員評分</w:t>
      </w:r>
      <w:r>
        <w:rPr>
          <w:rFonts w:ascii="Times New Roman" w:eastAsia="標楷體" w:hAnsi="Times New Roman"/>
          <w:color w:val="000000"/>
          <w:sz w:val="28"/>
          <w:szCs w:val="28"/>
        </w:rPr>
        <w:t>75</w:t>
      </w:r>
      <w:r>
        <w:rPr>
          <w:rFonts w:eastAsia="標楷體"/>
          <w:color w:val="000000"/>
          <w:sz w:val="28"/>
          <w:szCs w:val="28"/>
        </w:rPr>
        <w:t>分以上且總平均達</w:t>
      </w:r>
      <w:r>
        <w:rPr>
          <w:rFonts w:ascii="Times New Roman" w:eastAsia="標楷體" w:hAnsi="Times New Roman"/>
          <w:color w:val="000000"/>
          <w:sz w:val="28"/>
          <w:szCs w:val="28"/>
        </w:rPr>
        <w:t>75</w:t>
      </w:r>
      <w:r>
        <w:rPr>
          <w:rFonts w:eastAsia="標楷體"/>
          <w:color w:val="000000"/>
          <w:sz w:val="28"/>
          <w:szCs w:val="28"/>
        </w:rPr>
        <w:t>分以上者，始取得獎助資格。</w:t>
      </w:r>
    </w:p>
    <w:p w:rsidR="00AA43F1" w:rsidRDefault="003A69C5">
      <w:pPr>
        <w:pStyle w:val="a5"/>
        <w:numPr>
          <w:ilvl w:val="0"/>
          <w:numId w:val="9"/>
        </w:numPr>
        <w:spacing w:line="440" w:lineRule="exact"/>
        <w:ind w:left="709" w:hanging="709"/>
        <w:rPr>
          <w:rFonts w:ascii="Sylfaen" w:eastAsia="標楷體" w:hAnsi="Sylfaen" w:cs="標楷體"/>
          <w:color w:val="000000"/>
          <w:sz w:val="28"/>
          <w:szCs w:val="28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實質審查標準與權重：</w:t>
      </w:r>
    </w:p>
    <w:p w:rsidR="00AA43F1" w:rsidRDefault="003A69C5">
      <w:pPr>
        <w:pStyle w:val="a5"/>
        <w:numPr>
          <w:ilvl w:val="0"/>
          <w:numId w:val="10"/>
        </w:numPr>
        <w:spacing w:line="440" w:lineRule="exact"/>
        <w:ind w:left="1134" w:hanging="850"/>
        <w:rPr>
          <w:color w:val="000000"/>
        </w:rPr>
      </w:pPr>
      <w:r>
        <w:rPr>
          <w:rFonts w:ascii="Sylfaen" w:eastAsia="標楷體" w:hAnsi="Sylfaen" w:cs="Sylfaen"/>
          <w:color w:val="000000"/>
          <w:sz w:val="28"/>
          <w:szCs w:val="28"/>
        </w:rPr>
        <w:t>研究主題之重要性及原創性</w:t>
      </w:r>
      <w:r>
        <w:rPr>
          <w:rFonts w:ascii="Sylfaen" w:eastAsia="Sylfaen" w:hAnsi="Sylfaen" w:cs="Sylfaen"/>
          <w:color w:val="000000"/>
          <w:sz w:val="28"/>
          <w:szCs w:val="28"/>
        </w:rPr>
        <w:t>……</w:t>
      </w:r>
      <w:r>
        <w:rPr>
          <w:rFonts w:ascii="Sylfaen" w:eastAsia="標楷體" w:hAnsi="Sylfaen" w:cs="Sylfaen"/>
          <w:color w:val="000000"/>
          <w:sz w:val="28"/>
          <w:szCs w:val="28"/>
        </w:rPr>
        <w:t>20%</w:t>
      </w:r>
      <w:r>
        <w:rPr>
          <w:rFonts w:ascii="Sylfaen" w:eastAsia="標楷體" w:hAnsi="Sylfaen" w:cs="Sylfaen"/>
          <w:color w:val="000000"/>
          <w:sz w:val="28"/>
          <w:szCs w:val="28"/>
        </w:rPr>
        <w:t>。</w:t>
      </w:r>
    </w:p>
    <w:p w:rsidR="00AA43F1" w:rsidRDefault="003A69C5">
      <w:pPr>
        <w:pStyle w:val="a5"/>
        <w:numPr>
          <w:ilvl w:val="0"/>
          <w:numId w:val="6"/>
        </w:numPr>
        <w:spacing w:line="440" w:lineRule="exact"/>
        <w:ind w:left="1134" w:hanging="850"/>
        <w:rPr>
          <w:color w:val="000000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研究文獻之完備性</w:t>
      </w:r>
      <w:r>
        <w:rPr>
          <w:rFonts w:ascii="Sylfaen" w:eastAsia="Sylfaen" w:hAnsi="Sylfaen" w:cs="Sylfaen"/>
          <w:color w:val="000000"/>
          <w:sz w:val="28"/>
          <w:szCs w:val="28"/>
        </w:rPr>
        <w:t>……</w:t>
      </w:r>
      <w:r>
        <w:rPr>
          <w:rFonts w:ascii="Sylfaen" w:eastAsia="標楷體" w:hAnsi="Sylfaen" w:cs="Sylfaen"/>
          <w:color w:val="000000"/>
          <w:sz w:val="28"/>
          <w:szCs w:val="28"/>
        </w:rPr>
        <w:t>20%</w:t>
      </w:r>
      <w:r>
        <w:rPr>
          <w:rFonts w:ascii="Sylfaen" w:eastAsia="標楷體" w:hAnsi="Sylfaen" w:cs="Sylfaen"/>
          <w:color w:val="000000"/>
          <w:sz w:val="28"/>
          <w:szCs w:val="28"/>
        </w:rPr>
        <w:t>。</w:t>
      </w:r>
    </w:p>
    <w:p w:rsidR="00AA43F1" w:rsidRDefault="003A69C5">
      <w:pPr>
        <w:pStyle w:val="a5"/>
        <w:numPr>
          <w:ilvl w:val="0"/>
          <w:numId w:val="6"/>
        </w:numPr>
        <w:spacing w:line="440" w:lineRule="exact"/>
        <w:ind w:left="1134" w:hanging="850"/>
        <w:rPr>
          <w:color w:val="000000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研究方法與研究架構之嚴謹性</w:t>
      </w:r>
      <w:r>
        <w:rPr>
          <w:rFonts w:ascii="Sylfaen" w:eastAsia="Sylfaen" w:hAnsi="Sylfaen" w:cs="Sylfaen"/>
          <w:color w:val="000000"/>
          <w:sz w:val="28"/>
          <w:szCs w:val="28"/>
        </w:rPr>
        <w:t>……</w:t>
      </w:r>
      <w:r>
        <w:rPr>
          <w:rFonts w:ascii="Sylfaen" w:eastAsia="標楷體" w:hAnsi="Sylfaen" w:cs="Sylfaen"/>
          <w:color w:val="000000"/>
          <w:sz w:val="28"/>
          <w:szCs w:val="28"/>
        </w:rPr>
        <w:t>30%</w:t>
      </w:r>
      <w:r>
        <w:rPr>
          <w:rFonts w:ascii="Sylfaen" w:eastAsia="標楷體" w:hAnsi="Sylfaen" w:cs="Sylfaen"/>
          <w:color w:val="000000"/>
          <w:sz w:val="28"/>
          <w:szCs w:val="28"/>
        </w:rPr>
        <w:t>。</w:t>
      </w:r>
    </w:p>
    <w:p w:rsidR="00AA43F1" w:rsidRDefault="003A69C5">
      <w:pPr>
        <w:pStyle w:val="a5"/>
        <w:numPr>
          <w:ilvl w:val="0"/>
          <w:numId w:val="6"/>
        </w:numPr>
        <w:spacing w:line="440" w:lineRule="exact"/>
        <w:ind w:left="1134" w:hanging="850"/>
        <w:rPr>
          <w:color w:val="000000"/>
        </w:rPr>
      </w:pPr>
      <w:r>
        <w:rPr>
          <w:rFonts w:ascii="Sylfaen" w:eastAsia="標楷體" w:hAnsi="Sylfaen" w:cs="標楷體"/>
          <w:color w:val="000000"/>
          <w:sz w:val="28"/>
          <w:szCs w:val="28"/>
        </w:rPr>
        <w:t>研究成果之創見及對學術與實務之貢獻性</w:t>
      </w:r>
      <w:r>
        <w:rPr>
          <w:rFonts w:ascii="Sylfaen" w:eastAsia="Sylfaen" w:hAnsi="Sylfaen" w:cs="Sylfaen"/>
          <w:color w:val="000000"/>
          <w:sz w:val="28"/>
          <w:szCs w:val="28"/>
        </w:rPr>
        <w:t>……</w:t>
      </w:r>
      <w:r>
        <w:rPr>
          <w:rFonts w:ascii="Sylfaen" w:eastAsia="標楷體" w:hAnsi="Sylfaen" w:cs="Sylfaen"/>
          <w:color w:val="000000"/>
          <w:sz w:val="28"/>
          <w:szCs w:val="28"/>
        </w:rPr>
        <w:t>30%</w:t>
      </w:r>
      <w:r>
        <w:rPr>
          <w:rFonts w:ascii="Sylfaen" w:eastAsia="標楷體" w:hAnsi="Sylfaen" w:cs="Sylfaen"/>
          <w:color w:val="000000"/>
          <w:sz w:val="28"/>
          <w:szCs w:val="28"/>
        </w:rPr>
        <w:t>。</w:t>
      </w:r>
    </w:p>
    <w:p w:rsidR="00AA43F1" w:rsidRDefault="00AA43F1">
      <w:pPr>
        <w:pStyle w:val="a5"/>
        <w:spacing w:line="440" w:lineRule="exact"/>
        <w:ind w:left="1134"/>
        <w:rPr>
          <w:rFonts w:ascii="Sylfaen" w:eastAsia="標楷體" w:hAnsi="Sylfaen" w:cs="Sylfaen"/>
          <w:color w:val="000000"/>
          <w:sz w:val="28"/>
          <w:szCs w:val="28"/>
        </w:rPr>
      </w:pPr>
    </w:p>
    <w:sectPr w:rsidR="00AA43F1">
      <w:headerReference w:type="default" r:id="rId8"/>
      <w:pgSz w:w="11906" w:h="16838"/>
      <w:pgMar w:top="1247" w:right="1134" w:bottom="1247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5" w:rsidRDefault="003A69C5">
      <w:pPr>
        <w:rPr>
          <w:rFonts w:hint="eastAsia"/>
        </w:rPr>
      </w:pPr>
      <w:r>
        <w:separator/>
      </w:r>
    </w:p>
  </w:endnote>
  <w:endnote w:type="continuationSeparator" w:id="0">
    <w:p w:rsidR="003A69C5" w:rsidRDefault="003A69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ans"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5" w:rsidRDefault="003A69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69C5" w:rsidRDefault="003A69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3" w:rsidRDefault="003A69C5">
    <w:pPr>
      <w:pStyle w:val="a6"/>
      <w:rPr>
        <w:rFonts w:ascii="新細明體, PMingLiU" w:eastAsia="新細明體, PMingLiU" w:hAnsi="新細明體, PMingLiU" w:cs="新細明體, PMingLiU"/>
        <w:color w:val="000000"/>
      </w:rPr>
    </w:pPr>
    <w:r>
      <w:rPr>
        <w:rFonts w:ascii="新細明體, PMingLiU" w:eastAsia="新細明體, PMingLiU" w:hAnsi="新細明體, PMingLiU" w:cs="新細明體, PMingLiU"/>
        <w:color w:val="000000"/>
      </w:rPr>
      <w:t>附件七</w:t>
    </w:r>
  </w:p>
  <w:p w:rsidR="00A63203" w:rsidRDefault="003A69C5">
    <w:pPr>
      <w:pStyle w:val="a6"/>
      <w:rPr>
        <w:rFonts w:ascii="新細明體, PMingLiU" w:eastAsia="新細明體, PMingLiU" w:hAnsi="新細明體, PMingLiU" w:cs="新細明體, PMingLiU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2FD"/>
    <w:multiLevelType w:val="multilevel"/>
    <w:tmpl w:val="108057E6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C0D5E69"/>
    <w:multiLevelType w:val="multilevel"/>
    <w:tmpl w:val="632CE36E"/>
    <w:styleLink w:val="WW8Num2"/>
    <w:lvl w:ilvl="0">
      <w:start w:val="1"/>
      <w:numFmt w:val="japaneseCounting"/>
      <w:lvlText w:val="（%1）"/>
      <w:lvlJc w:val="left"/>
      <w:rPr>
        <w:rFonts w:eastAsia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057589"/>
    <w:multiLevelType w:val="multilevel"/>
    <w:tmpl w:val="C1904E18"/>
    <w:styleLink w:val="WW8Num6"/>
    <w:lvl w:ilvl="0">
      <w:start w:val="1"/>
      <w:numFmt w:val="japaneseCounting"/>
      <w:lvlText w:val="（%1）"/>
      <w:lvlJc w:val="left"/>
      <w:rPr>
        <w:rFonts w:ascii="Sylfaen" w:eastAsia="標楷體" w:hAnsi="Sylfaen" w:cs="Sylfae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E27257D"/>
    <w:multiLevelType w:val="multilevel"/>
    <w:tmpl w:val="B0C06A30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7E359D6"/>
    <w:multiLevelType w:val="multilevel"/>
    <w:tmpl w:val="760C0766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EF0769D"/>
    <w:multiLevelType w:val="multilevel"/>
    <w:tmpl w:val="5E8A342E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3F1"/>
    <w:rsid w:val="003A69C5"/>
    <w:rsid w:val="00AA43F1"/>
    <w:rsid w:val="00C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rebuchet MS" w:eastAsia="微軟正黑體" w:hAnsi="Trebuchet MS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lfaen" w:eastAsia="標楷體" w:hAnsi="Sylfaen" w:cs="Sylfae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註解方塊文字 字元"/>
    <w:basedOn w:val="a0"/>
    <w:rPr>
      <w:rFonts w:ascii="Trebuchet MS" w:eastAsia="微軟正黑體" w:hAnsi="Trebuchet MS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rebuchet MS" w:eastAsia="微軟正黑體" w:hAnsi="Trebuchet MS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lfaen" w:eastAsia="標楷體" w:hAnsi="Sylfaen" w:cs="Sylfae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註解方塊文字 字元"/>
    <w:basedOn w:val="a0"/>
    <w:rPr>
      <w:rFonts w:ascii="Trebuchet MS" w:eastAsia="微軟正黑體" w:hAnsi="Trebuchet MS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sai</cp:lastModifiedBy>
  <cp:revision>1</cp:revision>
  <dcterms:created xsi:type="dcterms:W3CDTF">2019-11-07T17:09:00Z</dcterms:created>
  <dcterms:modified xsi:type="dcterms:W3CDTF">2021-05-17T03:53:00Z</dcterms:modified>
</cp:coreProperties>
</file>